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82F8" w14:textId="054FC2F4" w:rsidR="001477C1" w:rsidRDefault="1CBDF467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What is UCAS?</w:t>
      </w:r>
    </w:p>
    <w:p w14:paraId="280133BB" w14:textId="1A4732EB" w:rsidR="001477C1" w:rsidRDefault="001477C1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25FA59F" w14:textId="268972B8" w:rsidR="001477C1" w:rsidRDefault="1CBDF467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The </w:t>
      </w: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U</w:t>
      </w: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niversities and </w:t>
      </w: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C</w:t>
      </w: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olleges </w:t>
      </w: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</w:t>
      </w: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dmissions </w:t>
      </w: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</w:t>
      </w: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>ervice</w:t>
      </w:r>
    </w:p>
    <w:p w14:paraId="636F6373" w14:textId="72CECC11" w:rsidR="001477C1" w:rsidRDefault="1CBDF467" w:rsidP="0A4C70FD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Explore their website: </w:t>
      </w:r>
      <w:hyperlink r:id="rId5">
        <w:r w:rsidRPr="0A4C70FD">
          <w:rPr>
            <w:rStyle w:val="Hyperlink"/>
            <w:rFonts w:ascii="Arial" w:eastAsia="Arial" w:hAnsi="Arial" w:cs="Arial"/>
            <w:color w:val="0563C1"/>
            <w:sz w:val="32"/>
            <w:szCs w:val="32"/>
          </w:rPr>
          <w:t>www.ucas.com</w:t>
        </w:r>
      </w:hyperlink>
    </w:p>
    <w:p w14:paraId="1963AAE6" w14:textId="3F72B4EB" w:rsidR="001477C1" w:rsidRDefault="1CBDF467" w:rsidP="0A4C70FD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>It is an amazing resource tool which explores not only University degree courses but Apprenticeships and Gap year opportunities.</w:t>
      </w:r>
    </w:p>
    <w:p w14:paraId="7F921151" w14:textId="5655522D" w:rsidR="001477C1" w:rsidRDefault="1CBDF467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Easter Holiday task:</w:t>
      </w:r>
    </w:p>
    <w:p w14:paraId="5A290670" w14:textId="56575F79" w:rsidR="001477C1" w:rsidRDefault="1CBDF467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>Enjoy researching the undergraduate section, which you will see is along the top header. Then go to:</w:t>
      </w:r>
    </w:p>
    <w:p w14:paraId="4E123B32" w14:textId="584C61FB" w:rsidR="001477C1" w:rsidRDefault="1CBDF467" w:rsidP="0A4C70F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Choosing what and where to study </w:t>
      </w:r>
    </w:p>
    <w:p w14:paraId="4DD0FA88" w14:textId="362F5D55" w:rsidR="001477C1" w:rsidRDefault="1CBDF467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>It will help you appreciate that there are many courses which embrace new areas. These are not necessary linked to specific A Level Study but would give exciting intellectual challenge and invaluable 21</w:t>
      </w:r>
      <w:r w:rsidRPr="0A4C70FD">
        <w:rPr>
          <w:rFonts w:ascii="Arial" w:eastAsia="Arial" w:hAnsi="Arial" w:cs="Arial"/>
          <w:color w:val="000000" w:themeColor="text1"/>
          <w:sz w:val="32"/>
          <w:szCs w:val="32"/>
          <w:vertAlign w:val="superscript"/>
        </w:rPr>
        <w:t>st</w:t>
      </w: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 century skills.</w:t>
      </w:r>
    </w:p>
    <w:p w14:paraId="6A8785BF" w14:textId="7B98093F" w:rsidR="001477C1" w:rsidRDefault="1CBDF467" w:rsidP="0A4C70F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Subject Guides </w:t>
      </w:r>
    </w:p>
    <w:p w14:paraId="69EC3BB3" w14:textId="65F5DF96" w:rsidR="001477C1" w:rsidRDefault="1CBDF467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>Here you will find tips and advice on choosing a course, entry requirements and even information about studying abroad.</w:t>
      </w:r>
    </w:p>
    <w:p w14:paraId="7F67F26F" w14:textId="787C414F" w:rsidR="001477C1" w:rsidRDefault="1CBDF467" w:rsidP="0A4C70FD">
      <w:pPr>
        <w:ind w:left="360"/>
        <w:rPr>
          <w:rFonts w:ascii="Arial" w:eastAsia="Arial" w:hAnsi="Arial" w:cs="Arial"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Other sections:  Apprenticeships/Gap Year/ Internships</w:t>
      </w:r>
    </w:p>
    <w:p w14:paraId="5C136480" w14:textId="3B819980" w:rsidR="001477C1" w:rsidRDefault="1CBDF467" w:rsidP="0A4C70FD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A4C70FD">
        <w:rPr>
          <w:rFonts w:ascii="Arial" w:eastAsia="Arial" w:hAnsi="Arial" w:cs="Arial"/>
          <w:color w:val="000000" w:themeColor="text1"/>
          <w:sz w:val="32"/>
          <w:szCs w:val="32"/>
        </w:rPr>
        <w:t xml:space="preserve">All will give you a great start to your research and then you can actually save all your findings by using the </w:t>
      </w:r>
      <w:r w:rsidRPr="0A4C70F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UCAS HUB</w:t>
      </w:r>
      <w:r w:rsidR="00C00C99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……an online space to help you organise your findings.</w:t>
      </w:r>
    </w:p>
    <w:p w14:paraId="75EA95FE" w14:textId="4E8B9414" w:rsidR="00C00C99" w:rsidRDefault="00C00C99" w:rsidP="0A4C70FD">
      <w:pPr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REMEMBER, this is just the start of your research. The application process and support would normally start after the AS exams. So after the Easter holidays we wi</w:t>
      </w:r>
      <w:r w:rsidR="00D656F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ll give you more details on how AND 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w</w:t>
      </w:r>
      <w:r w:rsidR="00D656F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e</w:t>
      </w:r>
      <w:r w:rsidR="00D656F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n we will 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do that this year. </w:t>
      </w:r>
    </w:p>
    <w:p w14:paraId="5E5787A5" w14:textId="7DD22210" w:rsidR="001477C1" w:rsidRPr="00C00C99" w:rsidRDefault="00DFCDBB">
      <w:pPr>
        <w:rPr>
          <w:rFonts w:ascii="Arial" w:hAnsi="Arial" w:cs="Arial"/>
          <w:b/>
          <w:sz w:val="32"/>
          <w:szCs w:val="32"/>
        </w:rPr>
      </w:pPr>
      <w:r w:rsidRPr="00C00C99">
        <w:rPr>
          <w:b/>
        </w:rPr>
        <w:t xml:space="preserve"> </w:t>
      </w:r>
      <w:r w:rsidR="00C00C99" w:rsidRPr="00C00C99">
        <w:rPr>
          <w:b/>
        </w:rPr>
        <w:t xml:space="preserve">                       </w:t>
      </w:r>
      <w:r w:rsidR="00C00C99">
        <w:rPr>
          <w:b/>
        </w:rPr>
        <w:t xml:space="preserve">                        </w:t>
      </w:r>
      <w:r w:rsidR="00C00C99" w:rsidRPr="00C00C99">
        <w:rPr>
          <w:b/>
        </w:rPr>
        <w:t xml:space="preserve">   </w:t>
      </w:r>
      <w:r w:rsidR="00C00C99" w:rsidRPr="00C00C99">
        <w:rPr>
          <w:rFonts w:ascii="Arial" w:hAnsi="Arial" w:cs="Arial"/>
          <w:b/>
          <w:sz w:val="32"/>
          <w:szCs w:val="32"/>
        </w:rPr>
        <w:t>ENJOY EXPLORING</w:t>
      </w:r>
    </w:p>
    <w:sectPr w:rsidR="001477C1" w:rsidRPr="00C00C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EF4"/>
    <w:multiLevelType w:val="hybridMultilevel"/>
    <w:tmpl w:val="198A078A"/>
    <w:lvl w:ilvl="0" w:tplc="79F2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5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8C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85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C7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E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AB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CF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9E7"/>
    <w:multiLevelType w:val="hybridMultilevel"/>
    <w:tmpl w:val="DEEA3C10"/>
    <w:lvl w:ilvl="0" w:tplc="81007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48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E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E7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4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E0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81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2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64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09BD"/>
    <w:multiLevelType w:val="hybridMultilevel"/>
    <w:tmpl w:val="75500134"/>
    <w:lvl w:ilvl="0" w:tplc="6428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E7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A0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E6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A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ED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24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69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C4C74B"/>
    <w:rsid w:val="000442ED"/>
    <w:rsid w:val="001477C1"/>
    <w:rsid w:val="00835C03"/>
    <w:rsid w:val="00C00C99"/>
    <w:rsid w:val="00CF721C"/>
    <w:rsid w:val="00D656F3"/>
    <w:rsid w:val="00DFCDBB"/>
    <w:rsid w:val="0A4C70FD"/>
    <w:rsid w:val="1CBDF467"/>
    <w:rsid w:val="7EC4C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C74B"/>
  <w15:chartTrackingRefBased/>
  <w15:docId w15:val="{E0F18F33-EE77-48F1-BA8E-D39CF2A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a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F. Grearson</dc:creator>
  <cp:keywords/>
  <dc:description/>
  <cp:lastModifiedBy>Mrs P. Casey</cp:lastModifiedBy>
  <cp:revision>2</cp:revision>
  <dcterms:created xsi:type="dcterms:W3CDTF">2020-04-07T14:02:00Z</dcterms:created>
  <dcterms:modified xsi:type="dcterms:W3CDTF">2020-04-07T14:02:00Z</dcterms:modified>
</cp:coreProperties>
</file>